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-2647940</wp:posOffset>
            </wp:positionH>
            <wp:positionV relativeFrom="paragraph">
              <wp:posOffset>-914388</wp:posOffset>
            </wp:positionV>
            <wp:extent cx="5732145" cy="4373880"/>
            <wp:effectExtent b="0" l="0" r="0" t="0"/>
            <wp:wrapNone/>
            <wp:docPr id="159700703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-389879</wp:posOffset>
            </wp:positionH>
            <wp:positionV relativeFrom="paragraph">
              <wp:posOffset>-514337</wp:posOffset>
            </wp:positionV>
            <wp:extent cx="3048000" cy="834853"/>
            <wp:effectExtent b="0" l="0" r="0" t="0"/>
            <wp:wrapNone/>
            <wp:docPr id="159700703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45720</wp:posOffset>
                </wp:positionV>
                <wp:extent cx="4504690" cy="746760"/>
                <wp:effectExtent b="0" l="0" r="0" t="0"/>
                <wp:wrapSquare wrapText="bothSides" distB="45720" distT="45720" distL="114300" distR="114300"/>
                <wp:docPr id="159700703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45720</wp:posOffset>
                </wp:positionV>
                <wp:extent cx="4504690" cy="746760"/>
                <wp:effectExtent b="0" l="0" r="0" t="0"/>
                <wp:wrapSquare wrapText="bothSides" distB="45720" distT="45720" distL="114300" distR="114300"/>
                <wp:docPr id="159700703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04690" cy="746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45720</wp:posOffset>
                </wp:positionV>
                <wp:extent cx="4762500" cy="1021080"/>
                <wp:effectExtent b="0" l="0" r="0" t="0"/>
                <wp:wrapSquare wrapText="bothSides" distB="45720" distT="45720" distL="114300" distR="114300"/>
                <wp:docPr id="159700703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decente per una didattica dell’informatica autentica e inclusiva in termini di genere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d1d1b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45720</wp:posOffset>
                </wp:positionV>
                <wp:extent cx="4762500" cy="1021080"/>
                <wp:effectExtent b="0" l="0" r="0" t="0"/>
                <wp:wrapSquare wrapText="bothSides" distB="45720" distT="45720" distL="114300" distR="114300"/>
                <wp:docPr id="159700703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0" cy="1021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39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5: Valutazione dei metodi di insegnamento e di apprendimento nelle lezioni di informatica della scuola secondaria di primo grado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5.3: Misurare l’impatto dell’apprendimento autentico in classe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0,02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Analizzare i casi studio che sottolineano l’impatto dell’apprendimento autentico sui risultati di apprendimento delle e degli studenti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Sviluppare una riflessione sul ricorso all’apprendimento autentico, condividendo esempi di attività efficaci e non con le proprie colleghe e i propri colleghi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Diapositive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Modello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Scenario 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Modello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Scenario B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44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L’apprendimento autentico, che aiuta le e gli studenti ad entrare in contatto con problemi reali, punti di vista diversi e a collaborare, costituisce un elemento chiave del quadro di riferimento di TINKER. La sessione prende in esame e analizza </w:t>
            </w:r>
            <w:r w:rsidDel="00000000" w:rsidR="00000000" w:rsidRPr="00000000">
              <w:rPr>
                <w:b w:val="1"/>
                <w:rtl w:val="0"/>
              </w:rPr>
              <w:t xml:space="preserve">due scenari </w:t>
            </w:r>
            <w:r w:rsidDel="00000000" w:rsidR="00000000" w:rsidRPr="00000000">
              <w:rPr>
                <w:rtl w:val="0"/>
              </w:rPr>
              <w:t xml:space="preserve">che mirano a illustrare il potere dell’apprendimento autentico e ciò che, invece, può inficiarne l’impatto, attraverso un processo di analisi e discussione. 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Saranno, inoltre, presentati degli </w:t>
            </w:r>
            <w:r w:rsidDel="00000000" w:rsidR="00000000" w:rsidRPr="00000000">
              <w:rPr>
                <w:b w:val="1"/>
                <w:rtl w:val="0"/>
              </w:rPr>
              <w:t xml:space="preserve">strumenti quantitativi e qualitativi </w:t>
            </w:r>
            <w:r w:rsidDel="00000000" w:rsidR="00000000" w:rsidRPr="00000000">
              <w:rPr>
                <w:rtl w:val="0"/>
              </w:rPr>
              <w:t xml:space="preserve">che aiutano a carpire e in maniera più efficace il grado di coinvolgimento delle e degli studenti, andando al di là di parametri come i voti o le presenze. Questi strumenti consentono di vedere ciò che le e gli studenti pensano e sentono nel corso del processo di apprendimento. 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Tutto questo si basa sul lavoro svolto in precedenza sugli </w:t>
            </w:r>
            <w:r w:rsidDel="00000000" w:rsidR="00000000" w:rsidRPr="00000000">
              <w:rPr>
                <w:b w:val="1"/>
                <w:rtl w:val="0"/>
              </w:rPr>
              <w:t xml:space="preserve">strumenti di valutazione dell’attività didattica.</w:t>
            </w: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F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Presentazione e saluti (2 minuti)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Saluta le e i partecipanti e di’ loro: “Questa lezione è incentrata sulla valutazione dell’</w:t>
            </w:r>
            <w:r w:rsidDel="00000000" w:rsidR="00000000" w:rsidRPr="00000000">
              <w:rPr>
                <w:b w:val="1"/>
                <w:rtl w:val="0"/>
              </w:rPr>
              <w:t xml:space="preserve">impatto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dell’apprendimento autentico</w:t>
            </w:r>
            <w:r w:rsidDel="00000000" w:rsidR="00000000" w:rsidRPr="00000000">
              <w:rPr>
                <w:rtl w:val="0"/>
              </w:rPr>
              <w:t xml:space="preserve">, in particolare sul </w:t>
            </w:r>
            <w:r w:rsidDel="00000000" w:rsidR="00000000" w:rsidRPr="00000000">
              <w:rPr>
                <w:b w:val="1"/>
                <w:rtl w:val="0"/>
              </w:rPr>
              <w:t xml:space="preserve">coinvolgimento</w:t>
            </w:r>
            <w:r w:rsidDel="00000000" w:rsidR="00000000" w:rsidRPr="00000000">
              <w:rPr>
                <w:rtl w:val="0"/>
              </w:rPr>
              <w:t xml:space="preserve"> e sui </w:t>
            </w:r>
            <w:r w:rsidDel="00000000" w:rsidR="00000000" w:rsidRPr="00000000">
              <w:rPr>
                <w:b w:val="1"/>
                <w:rtl w:val="0"/>
              </w:rPr>
              <w:t xml:space="preserve">risultati di apprendimento</w:t>
            </w:r>
            <w:r w:rsidDel="00000000" w:rsidR="00000000" w:rsidRPr="00000000">
              <w:rPr>
                <w:rtl w:val="0"/>
              </w:rPr>
              <w:t xml:space="preserve"> delle e degli studenti mediante l’analisi di due scenari.”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after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Domanda introduttiva: “Pensate a una lezione che avete tenuto di recente in cui le e gli studenti vi sono parsi particolarmente coinvolti – da cosa avete dedotto il loro coinvolgimento? Che cosa avete visto, udito o sentito?” Raccogli 2-3 risposte.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</w:rPr>
            </w:pPr>
            <w:bookmarkStart w:colFirst="0" w:colLast="0" w:name="_heading=h.vpqn7ezgbcxz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Attività di gruppo sullo scenario (25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Distribuisci lo </w:t>
            </w:r>
            <w:hyperlink r:id="rId11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scenario A</w:t>
              </w:r>
            </w:hyperlink>
            <w:r w:rsidDel="00000000" w:rsidR="00000000" w:rsidRPr="00000000">
              <w:rPr>
                <w:rtl w:val="0"/>
              </w:rPr>
              <w:t xml:space="preserve"> e lo </w:t>
            </w:r>
            <w:hyperlink r:id="rId12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scenario B</w:t>
              </w:r>
            </w:hyperlink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 </w:t>
              </w:r>
            </w:hyperlink>
            <w:r w:rsidDel="00000000" w:rsidR="00000000" w:rsidRPr="00000000">
              <w:rPr>
                <w:rtl w:val="0"/>
              </w:rPr>
              <w:t xml:space="preserve">ai gruppi (composti da 2-3 partecipanti). Ciascun gruppo dovrà lavorare prima sullo scenario A e poi su quello B. Le e i partecipanti dovranno: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3"/>
              </w:numPr>
              <w:spacing w:before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individuare almeno </w:t>
            </w:r>
            <w:r w:rsidDel="00000000" w:rsidR="00000000" w:rsidRPr="00000000">
              <w:rPr>
                <w:b w:val="1"/>
                <w:rtl w:val="0"/>
              </w:rPr>
              <w:t xml:space="preserve">4 opportunità mancate o sfide </w:t>
            </w:r>
            <w:r w:rsidDel="00000000" w:rsidR="00000000" w:rsidRPr="00000000">
              <w:rPr>
                <w:rtl w:val="0"/>
              </w:rPr>
              <w:t xml:space="preserve">che limitano il processo di apprendimento, l’inclusione o il coinvolgimento delle e degli studenti;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3"/>
              </w:numPr>
              <w:spacing w:before="240" w:lineRule="auto"/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collegare</w:t>
            </w:r>
            <w:r w:rsidDel="00000000" w:rsidR="00000000" w:rsidRPr="00000000">
              <w:rPr>
                <w:rtl w:val="0"/>
              </w:rPr>
              <w:t xml:space="preserve"> ciascun problema a un </w:t>
            </w:r>
            <w:r w:rsidDel="00000000" w:rsidR="00000000" w:rsidRPr="00000000">
              <w:rPr>
                <w:b w:val="1"/>
                <w:rtl w:val="0"/>
              </w:rPr>
              <w:t xml:space="preserve">principio dell’apprendimento autentico o della didattica inclusiva</w:t>
            </w:r>
            <w:r w:rsidDel="00000000" w:rsidR="00000000" w:rsidRPr="00000000">
              <w:rPr>
                <w:rtl w:val="0"/>
              </w:rPr>
              <w:t xml:space="preserve"> in termini di genere, a partire dal quadro di riferimento di TINKER; 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proporre almeno </w:t>
            </w:r>
            <w:r w:rsidDel="00000000" w:rsidR="00000000" w:rsidRPr="00000000">
              <w:rPr>
                <w:b w:val="1"/>
                <w:rtl w:val="0"/>
              </w:rPr>
              <w:t xml:space="preserve">3 strategie </w:t>
            </w:r>
            <w:r w:rsidDel="00000000" w:rsidR="00000000" w:rsidRPr="00000000">
              <w:rPr>
                <w:rtl w:val="0"/>
              </w:rPr>
              <w:t xml:space="preserve">che potrebbero </w:t>
            </w:r>
            <w:r w:rsidDel="00000000" w:rsidR="00000000" w:rsidRPr="00000000">
              <w:rPr>
                <w:b w:val="1"/>
                <w:rtl w:val="0"/>
              </w:rPr>
              <w:t xml:space="preserve">migliorare la lezione </w:t>
            </w:r>
            <w:r w:rsidDel="00000000" w:rsidR="00000000" w:rsidRPr="00000000">
              <w:rPr>
                <w:rtl w:val="0"/>
              </w:rPr>
              <w:t xml:space="preserve">utilizzando il quadro di riferimento di TINKER (richiami al mondo reale, punto di vista delle e degli studenti, </w:t>
            </w:r>
            <w:r w:rsidDel="00000000" w:rsidR="00000000" w:rsidRPr="00000000">
              <w:rPr>
                <w:i w:val="1"/>
                <w:rtl w:val="0"/>
              </w:rPr>
              <w:t xml:space="preserve">scaffolding, </w:t>
            </w:r>
            <w:r w:rsidDel="00000000" w:rsidR="00000000" w:rsidRPr="00000000">
              <w:rPr>
                <w:rtl w:val="0"/>
              </w:rPr>
              <w:t xml:space="preserve">strumenti di valutazione); 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elaborare delle strategie volte a </w:t>
            </w:r>
            <w:r w:rsidDel="00000000" w:rsidR="00000000" w:rsidRPr="00000000">
              <w:rPr>
                <w:b w:val="1"/>
                <w:rtl w:val="0"/>
              </w:rPr>
              <w:t xml:space="preserve">misurare </w:t>
            </w:r>
            <w:r w:rsidDel="00000000" w:rsidR="00000000" w:rsidRPr="00000000">
              <w:rPr>
                <w:rtl w:val="0"/>
              </w:rPr>
              <w:t xml:space="preserve">il grado di coinvolgimento delle e degli studenti nel corso dell’attività.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dlqbzenq38a8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3. Riflessioni e conclusioni (3 minuti)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Ecco alcuni</w:t>
            </w:r>
            <w:r w:rsidDel="00000000" w:rsidR="00000000" w:rsidRPr="00000000">
              <w:rPr>
                <w:b w:val="1"/>
                <w:rtl w:val="0"/>
              </w:rPr>
              <w:t xml:space="preserve"> spunti di riflessione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3"/>
              </w:numPr>
              <w:spacing w:after="240" w:before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“Quali sono gli insegnamenti che avete tratto alla luce dell’analisi dei due scenari?”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3"/>
              </w:numPr>
              <w:spacing w:after="240" w:before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“Quali strumenti o strategie presentate nel corso della lezione di oggi porterete con voi?”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Valutazione </w:t>
            </w:r>
          </w:p>
        </w:tc>
        <w:tc>
          <w:tcPr/>
          <w:p w:rsidR="00000000" w:rsidDel="00000000" w:rsidP="00000000" w:rsidRDefault="00000000" w:rsidRPr="00000000" w14:paraId="00000063">
            <w:pPr>
              <w:pStyle w:val="Heading3"/>
              <w:spacing w:after="80" w:before="280" w:lineRule="auto"/>
              <w:rPr>
                <w:i w:val="0"/>
                <w:sz w:val="24"/>
                <w:szCs w:val="24"/>
              </w:rPr>
            </w:pPr>
            <w:bookmarkStart w:colFirst="0" w:colLast="0" w:name="_heading=h.mnj8qu4ovgx6" w:id="3"/>
            <w:bookmarkEnd w:id="3"/>
            <w:r w:rsidDel="00000000" w:rsidR="00000000" w:rsidRPr="00000000">
              <w:rPr>
                <w:i w:val="0"/>
                <w:sz w:val="24"/>
                <w:szCs w:val="24"/>
                <w:rtl w:val="0"/>
              </w:rPr>
              <w:t xml:space="preserve">Valutazione formativa (nel corso della lezione)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L’intera lezione costituisce una sorta di valutazione pratica dei contenuti delle prime due sessioni. Le e gli insegnanti sono incoraggiati ad analizzare in maniera critica e a condividere le proprie opinioni su come migliorare gli scenari A e B – sulla base delle conoscenze acquisite nel corso delle lezioni precedenti o delle loro esperienze di apprendimento. </w:t>
            </w:r>
          </w:p>
        </w:tc>
      </w:tr>
    </w:tbl>
    <w:p w:rsidR="00000000" w:rsidDel="00000000" w:rsidP="00000000" w:rsidRDefault="00000000" w:rsidRPr="00000000" w14:paraId="00000065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vn55oqgexhwl" w:id="4"/>
            <w:bookmarkEnd w:id="4"/>
            <w:r w:rsidDel="00000000" w:rsidR="00000000" w:rsidRPr="00000000">
              <w:rPr>
                <w:rtl w:val="0"/>
              </w:rPr>
              <w:t xml:space="preserve">Questa lezione ha un carattere puramente pratico ed è incentrata su due esempi di lezioni di informatica che non sfruttano appieno le potenzialità dell’apprendimento autentico e inclusivo. Gli scenari presentano l’opportunità di riconoscere e applicare concetti introdotti in questo modulo e nelle lezioni precedenti. Sono progettati per incoraggiare le e gli insegnanti a prendere in considerazione la possibilità di utilizzare gli strumenti presentati nel corso delle lezioni.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6C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787400</wp:posOffset>
              </wp:positionH>
              <wp:positionV relativeFrom="paragraph">
                <wp:posOffset>50800</wp:posOffset>
              </wp:positionV>
              <wp:extent cx="5481320" cy="733425"/>
              <wp:effectExtent b="0" l="0" r="0" t="0"/>
              <wp:wrapNone/>
              <wp:docPr id="159700703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787400</wp:posOffset>
              </wp:positionH>
              <wp:positionV relativeFrom="paragraph">
                <wp:posOffset>50800</wp:posOffset>
              </wp:positionV>
              <wp:extent cx="5481320" cy="733425"/>
              <wp:effectExtent b="0" l="0" r="0" t="0"/>
              <wp:wrapNone/>
              <wp:docPr id="159700703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1320" cy="7334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-645783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4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zNMqd6_qOAfmVsnlafNurMduZN_sNaUV/edit" TargetMode="External"/><Relationship Id="rId10" Type="http://schemas.openxmlformats.org/officeDocument/2006/relationships/image" Target="media/image4.jpg"/><Relationship Id="rId13" Type="http://schemas.openxmlformats.org/officeDocument/2006/relationships/hyperlink" Target="https://docs.google.com/document/d/1QuATDYHaEbITXAD97Eidw_p3lQxzrt4c/edit" TargetMode="External"/><Relationship Id="rId12" Type="http://schemas.openxmlformats.org/officeDocument/2006/relationships/hyperlink" Target="https://docs.google.com/document/d/1QuATDYHaEbITXAD97Eidw_p3lQxzrt4c/ed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iLcDhjtau2NGcbgb+C0VlxS7eA==">CgMxLjAyDmgud2YzdWc5anUwczNnMg5oLnZwcW43ZXpnYmN4ejIOaC5kbHFiemVucTM4YTgyDmgubW5qOHF1NG92Z3g2Mg5oLnZuNTVvcWdleGh3bDgAciExbTBBQ0F2d0dsaE5JYkhwQW1mcHJPY2tDcHpqbWwxWks=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2024-11-19T18:10:00Z</dcterms:created>
  <dc:creator>Helen</dc:creator>
</cp:coreProperties>
</file>